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ahoma" w:hAnsi="Tahoma"/>
          <w:b/>
          <w:b/>
          <w:color w:val="087E8B"/>
          <w:sz w:val="24"/>
        </w:rPr>
      </w:pPr>
      <w:r>
        <w:rPr>
          <w:rFonts w:ascii="Tahoma" w:hAnsi="Tahoma"/>
          <w:b/>
          <w:color w:val="087E8B"/>
          <w:sz w:val="24"/>
        </w:rPr>
      </w:r>
    </w:p>
    <w:p>
      <w:pPr>
        <w:pStyle w:val="Normal"/>
        <w:jc w:val="center"/>
        <w:rPr>
          <w:rFonts w:ascii="Tahoma" w:hAnsi="Tahoma"/>
          <w:b/>
          <w:b/>
          <w:color w:val="087E8B"/>
          <w:sz w:val="24"/>
        </w:rPr>
      </w:pPr>
      <w:r>
        <w:rPr>
          <w:rFonts w:ascii="Tahoma" w:hAnsi="Tahoma"/>
          <w:b/>
          <w:color w:val="087E8B"/>
          <w:sz w:val="24"/>
        </w:rPr>
        <w:t>CECH RZEMIEŚLNIKÓW I PRZEDSIĘBIORCÓW</w:t>
        <w:br/>
        <w:t>W STARACHOWICACH</w:t>
      </w:r>
    </w:p>
    <w:p>
      <w:pPr>
        <w:pStyle w:val="Normal"/>
        <w:rPr>
          <w:rFonts w:ascii="Tahoma" w:hAnsi="Tahoma"/>
        </w:rPr>
      </w:pPr>
      <w:r>
        <w:rPr>
          <w:rFonts w:ascii="Tahoma" w:hAnsi="Tahoma"/>
        </w:rPr>
        <w:br/>
      </w:r>
    </w:p>
    <w:p>
      <w:pPr>
        <w:pStyle w:val="Normal"/>
        <w:jc w:val="center"/>
        <w:rPr>
          <w:sz w:val="30"/>
          <w:szCs w:val="30"/>
        </w:rPr>
      </w:pPr>
      <w:r>
        <w:rPr>
          <w:rFonts w:ascii="Tahoma" w:hAnsi="Tahoma"/>
          <w:b/>
          <w:color w:val="17324D"/>
          <w:sz w:val="30"/>
          <w:szCs w:val="30"/>
        </w:rPr>
        <w:t>RZEMIOSŁO</w:t>
        <w:br/>
        <w:t>PRZYSZŁOŚCI</w:t>
      </w:r>
    </w:p>
    <w:p>
      <w:pPr>
        <w:pStyle w:val="Normal"/>
        <w:jc w:val="center"/>
        <w:rPr>
          <w:rFonts w:ascii="Tahoma" w:hAnsi="Tahoma"/>
        </w:rPr>
      </w:pPr>
      <w:r>
        <w:rPr>
          <w:rFonts w:ascii="Tahoma" w:hAnsi="Tahoma"/>
          <w:i/>
          <w:color w:val="087E8B"/>
          <w:sz w:val="32"/>
        </w:rPr>
        <w:t>Tradycja spotyka przyszłość.</w:t>
        <w:br/>
        <w:t>Pokaż, jak będzie wyglądać rzemiosło jutra!</w:t>
      </w:r>
    </w:p>
    <w:p>
      <w:pPr>
        <w:pStyle w:val="Normal"/>
        <w:rPr>
          <w:rFonts w:ascii="Tahoma" w:hAnsi="Tahoma"/>
        </w:rPr>
      </w:pPr>
      <w:r>
        <w:rPr>
          <w:rFonts w:ascii="Tahoma" w:hAnsi="Tahoma"/>
        </w:rPr>
        <w:br/>
      </w:r>
    </w:p>
    <w:p>
      <w:pPr>
        <w:pStyle w:val="Normal"/>
        <w:jc w:val="center"/>
        <w:rPr>
          <w:rFonts w:ascii="Tahoma" w:hAnsi="Tahoma"/>
        </w:rPr>
      </w:pPr>
      <w:r>
        <w:rPr>
          <w:rFonts w:ascii="Tahoma" w:hAnsi="Tahoma"/>
          <w:b/>
          <w:sz w:val="26"/>
        </w:rPr>
        <w:t>KOMPLETNY PAKIET ORGANIZACYJNY KONKURSU</w:t>
      </w:r>
    </w:p>
    <w:p>
      <w:pPr>
        <w:pStyle w:val="Normal"/>
        <w:jc w:val="center"/>
        <w:rPr>
          <w:rFonts w:ascii="Tahoma" w:hAnsi="Tahoma"/>
        </w:rPr>
      </w:pPr>
      <w:r>
        <w:rPr>
          <w:rFonts w:ascii="Tahoma" w:hAnsi="Tahoma"/>
          <w:sz w:val="22"/>
        </w:rPr>
        <w:t>Projekt PIR NIW 2026 – Zadanie nr 2. Rozwój i promocja kształcenia dualnego w rzemiośle</w:t>
      </w:r>
    </w:p>
    <w:p>
      <w:pPr>
        <w:pStyle w:val="Normal"/>
        <w:jc w:val="center"/>
        <w:rPr>
          <w:rFonts w:ascii="Tahoma" w:hAnsi="Tahoma"/>
        </w:rPr>
      </w:pPr>
      <w:r>
        <w:rPr>
          <w:rFonts w:ascii="Tahoma" w:hAnsi="Tahoma"/>
          <w:sz w:val="20"/>
        </w:rPr>
        <w:t>listopad/grudzień 2026</w:t>
      </w:r>
    </w:p>
    <w:p>
      <w:pPr>
        <w:pStyle w:val="Normal"/>
        <w:jc w:val="center"/>
        <w:rPr>
          <w:rFonts w:ascii="Tahoma" w:hAnsi="Tahoma"/>
        </w:rPr>
      </w:pPr>
      <w:r>
        <w:rPr>
          <w:rFonts w:ascii="Tahoma" w:hAnsi="Tahoma"/>
        </w:rPr>
      </w:r>
    </w:p>
    <w:p>
      <w:pPr>
        <w:pStyle w:val="Nagwek1"/>
        <w:spacing w:before="0" w:after="0"/>
        <w:jc w:val="center"/>
        <w:rPr>
          <w:rFonts w:ascii="Tahoma" w:hAnsi="Tahoma"/>
          <w:sz w:val="20"/>
          <w:szCs w:val="20"/>
        </w:rPr>
      </w:pPr>
      <w:r>
        <w:rPr>
          <w:rFonts w:ascii="Tahoma" w:hAnsi="Tahoma"/>
          <w:sz w:val="20"/>
          <w:szCs w:val="20"/>
        </w:rPr>
      </w:r>
    </w:p>
    <w:p>
      <w:pPr>
        <w:pStyle w:val="Normal"/>
        <w:spacing w:lineRule="auto" w:line="360"/>
        <w:jc w:val="center"/>
        <w:rPr>
          <w:sz w:val="24"/>
          <w:szCs w:val="24"/>
        </w:rPr>
      </w:pPr>
      <w:r>
        <w:rPr>
          <w:rFonts w:ascii="Tahoma" w:hAnsi="Tahoma"/>
          <w:b w:val="false"/>
          <w:i w:val="false"/>
          <w:sz w:val="24"/>
          <w:szCs w:val="24"/>
        </w:rPr>
        <w:t>Informacja obejmuje regulamin, kryteria oceny, formularze, zgody, komunikaty dla szkół i rodziców, plan rekrutacji oraz scenariusz finału.</w:t>
      </w:r>
    </w:p>
    <w:p>
      <w:pPr>
        <w:pStyle w:val="Normal"/>
        <w:spacing w:lineRule="auto" w:line="360"/>
        <w:jc w:val="center"/>
        <w:rPr>
          <w:sz w:val="24"/>
          <w:szCs w:val="24"/>
        </w:rPr>
      </w:pPr>
      <w:r>
        <w:rPr>
          <w:rFonts w:ascii="Tahoma" w:hAnsi="Tahoma"/>
          <w:sz w:val="24"/>
          <w:szCs w:val="24"/>
        </w:rPr>
        <w:t xml:space="preserve">Termin zgłoszeń i przekazania prac: do 30 listopada 2026 r. Planowany finał i wręczenie nagród; 21 grudnia 2026 r. </w:t>
      </w:r>
    </w:p>
    <w:p>
      <w:pPr>
        <w:pStyle w:val="Normal"/>
        <w:spacing w:lineRule="auto" w:line="360"/>
        <w:jc w:val="center"/>
        <w:rPr>
          <w:sz w:val="24"/>
          <w:szCs w:val="24"/>
        </w:rPr>
      </w:pPr>
      <w:r>
        <w:rPr>
          <w:rFonts w:ascii="Tahoma" w:hAnsi="Tahoma"/>
          <w:sz w:val="24"/>
          <w:szCs w:val="24"/>
        </w:rPr>
        <w:t xml:space="preserve">Zgłoszenia: biuro@cechstarachowice.pl; tel. 609 406 106 (Paweł Grudniewski). Prace można dostarczyć do Centrum Kreatywności, Pałacyk, ul. Konstytucji 3 Maja 15 w Starachowicach. </w:t>
      </w:r>
    </w:p>
    <w:p>
      <w:pPr>
        <w:pStyle w:val="Normal"/>
        <w:jc w:val="both"/>
        <w:rPr>
          <w:rFonts w:ascii="Tahoma" w:hAnsi="Tahoma"/>
          <w:sz w:val="20"/>
          <w:szCs w:val="20"/>
        </w:rPr>
      </w:pPr>
      <w:r>
        <w:rPr>
          <w:rFonts w:ascii="Tahoma" w:hAnsi="Tahoma"/>
          <w:sz w:val="20"/>
          <w:szCs w:val="20"/>
        </w:rPr>
      </w:r>
      <w:r>
        <w:br w:type="page"/>
      </w:r>
    </w:p>
    <w:p>
      <w:pPr>
        <w:pStyle w:val="Nagwek1"/>
        <w:spacing w:before="0" w:after="0"/>
        <w:jc w:val="center"/>
        <w:rPr>
          <w:rFonts w:ascii="Tahoma" w:hAnsi="Tahoma"/>
          <w:sz w:val="20"/>
          <w:szCs w:val="20"/>
        </w:rPr>
      </w:pPr>
      <w:r>
        <w:rPr>
          <w:rFonts w:ascii="Tahoma" w:hAnsi="Tahoma"/>
          <w:sz w:val="20"/>
          <w:szCs w:val="20"/>
        </w:rPr>
        <w:t>1. REGULAMIN KONKURSU „RZEMIOSŁO PRZYSZŁOŚCI”</w:t>
      </w:r>
    </w:p>
    <w:p>
      <w:pPr>
        <w:pStyle w:val="Normal"/>
        <w:jc w:val="both"/>
        <w:rPr>
          <w:rFonts w:ascii="Tahoma" w:hAnsi="Tahoma"/>
          <w:sz w:val="20"/>
          <w:szCs w:val="20"/>
        </w:rPr>
      </w:pPr>
      <w:r>
        <w:rPr>
          <w:rFonts w:ascii="Tahoma" w:hAnsi="Tahoma"/>
          <w:b w:val="false"/>
          <w:i w:val="false"/>
          <w:sz w:val="20"/>
          <w:szCs w:val="20"/>
        </w:rPr>
        <w:t>Organizator: Cech Rzemieślników i Przedsiębiorców w Starachowicach, ul. Spółdzielcza 29, 27-200 Starachowice, dalej: „Organizator”. Konkurs realizowany jest w ramach projektu PIR NIW 2026, Zadanie nr 2: „Rozwój i promocja kształcenia dualnego w rzemiośle”.</w:t>
      </w:r>
    </w:p>
    <w:p>
      <w:pPr>
        <w:pStyle w:val="Nagwek2"/>
        <w:jc w:val="both"/>
        <w:rPr>
          <w:rFonts w:ascii="Tahoma" w:hAnsi="Tahoma"/>
          <w:sz w:val="20"/>
          <w:szCs w:val="20"/>
        </w:rPr>
      </w:pPr>
      <w:r>
        <w:rPr>
          <w:rFonts w:ascii="Tahoma" w:hAnsi="Tahoma"/>
          <w:sz w:val="20"/>
          <w:szCs w:val="20"/>
        </w:rPr>
        <w:t>§ 1. Cele konkursu</w:t>
      </w:r>
    </w:p>
    <w:p>
      <w:pPr>
        <w:pStyle w:val="ListBullet"/>
        <w:numPr>
          <w:ilvl w:val="0"/>
          <w:numId w:val="1"/>
        </w:numPr>
        <w:jc w:val="both"/>
        <w:rPr>
          <w:rFonts w:ascii="Tahoma" w:hAnsi="Tahoma"/>
          <w:sz w:val="20"/>
          <w:szCs w:val="20"/>
        </w:rPr>
      </w:pPr>
      <w:r>
        <w:rPr>
          <w:rFonts w:ascii="Tahoma" w:hAnsi="Tahoma"/>
          <w:sz w:val="20"/>
          <w:szCs w:val="20"/>
        </w:rPr>
        <w:t>promowanie kształcenia dualnego, nauki zawodu i rozwoju kompetencji praktycznych;</w:t>
      </w:r>
    </w:p>
    <w:p>
      <w:pPr>
        <w:pStyle w:val="ListBullet"/>
        <w:numPr>
          <w:ilvl w:val="0"/>
          <w:numId w:val="1"/>
        </w:numPr>
        <w:jc w:val="both"/>
        <w:rPr>
          <w:rFonts w:ascii="Tahoma" w:hAnsi="Tahoma"/>
          <w:sz w:val="20"/>
          <w:szCs w:val="20"/>
        </w:rPr>
      </w:pPr>
      <w:r>
        <w:rPr>
          <w:rFonts w:ascii="Tahoma" w:hAnsi="Tahoma"/>
          <w:sz w:val="20"/>
          <w:szCs w:val="20"/>
        </w:rPr>
        <w:t>przybliżenie młodzieży zawodów rzemieślniczych oraz możliwości rozwoju zawodowego w Starachowicach i powiecie starachowickim;</w:t>
      </w:r>
    </w:p>
    <w:p>
      <w:pPr>
        <w:pStyle w:val="ListBullet"/>
        <w:numPr>
          <w:ilvl w:val="0"/>
          <w:numId w:val="1"/>
        </w:numPr>
        <w:jc w:val="both"/>
        <w:rPr>
          <w:rFonts w:ascii="Tahoma" w:hAnsi="Tahoma"/>
          <w:sz w:val="20"/>
          <w:szCs w:val="20"/>
        </w:rPr>
      </w:pPr>
      <w:r>
        <w:rPr>
          <w:rFonts w:ascii="Tahoma" w:hAnsi="Tahoma"/>
          <w:sz w:val="20"/>
          <w:szCs w:val="20"/>
        </w:rPr>
        <w:t>budowanie relacji młodzieży z lokalnymi rzemieślnikami, mistrzami szkolącymi i przedsiębiorcami;</w:t>
      </w:r>
    </w:p>
    <w:p>
      <w:pPr>
        <w:pStyle w:val="ListBullet"/>
        <w:numPr>
          <w:ilvl w:val="0"/>
          <w:numId w:val="1"/>
        </w:numPr>
        <w:jc w:val="both"/>
        <w:rPr>
          <w:rFonts w:ascii="Tahoma" w:hAnsi="Tahoma"/>
          <w:sz w:val="20"/>
          <w:szCs w:val="20"/>
        </w:rPr>
      </w:pPr>
      <w:r>
        <w:rPr>
          <w:rFonts w:ascii="Tahoma" w:hAnsi="Tahoma"/>
          <w:sz w:val="20"/>
          <w:szCs w:val="20"/>
        </w:rPr>
        <w:t>rozwijanie kreatywności, przedsiębiorczości, kompetencji cyfrowych i umiejętności komunikacyjnych;</w:t>
      </w:r>
    </w:p>
    <w:p>
      <w:pPr>
        <w:pStyle w:val="ListBullet"/>
        <w:numPr>
          <w:ilvl w:val="0"/>
          <w:numId w:val="1"/>
        </w:numPr>
        <w:jc w:val="both"/>
        <w:rPr>
          <w:rFonts w:ascii="Tahoma" w:hAnsi="Tahoma"/>
          <w:sz w:val="20"/>
          <w:szCs w:val="20"/>
        </w:rPr>
      </w:pPr>
      <w:r>
        <w:rPr>
          <w:rFonts w:ascii="Tahoma" w:hAnsi="Tahoma"/>
          <w:sz w:val="20"/>
          <w:szCs w:val="20"/>
        </w:rPr>
        <w:t>pokazanie współczesnego znaczenia rzemiosła, wartości praktycznej nauki zawodu oraz roli lokalnych mistrzów.</w:t>
      </w:r>
    </w:p>
    <w:p>
      <w:pPr>
        <w:pStyle w:val="Nagwek2"/>
        <w:jc w:val="both"/>
        <w:rPr>
          <w:rFonts w:ascii="Tahoma" w:hAnsi="Tahoma"/>
          <w:sz w:val="20"/>
          <w:szCs w:val="20"/>
        </w:rPr>
      </w:pPr>
      <w:r>
        <w:rPr>
          <w:rFonts w:ascii="Tahoma" w:hAnsi="Tahoma"/>
          <w:sz w:val="20"/>
          <w:szCs w:val="20"/>
        </w:rPr>
        <w:t>§ 2. Uczestnicy i kategorie</w:t>
      </w:r>
    </w:p>
    <w:p>
      <w:pPr>
        <w:pStyle w:val="Normal"/>
        <w:jc w:val="both"/>
        <w:rPr>
          <w:rFonts w:ascii="Tahoma" w:hAnsi="Tahoma"/>
          <w:sz w:val="20"/>
          <w:szCs w:val="20"/>
        </w:rPr>
      </w:pPr>
      <w:r>
        <w:rPr>
          <w:rFonts w:ascii="Tahoma" w:hAnsi="Tahoma"/>
          <w:b w:val="false"/>
          <w:i w:val="false"/>
          <w:sz w:val="20"/>
          <w:szCs w:val="20"/>
        </w:rPr>
        <w:t>Konkurs skierowany jest do uczniów szkół z miasta Starachowice i powiatu starachowickiego:</w:t>
      </w:r>
    </w:p>
    <w:p>
      <w:pPr>
        <w:pStyle w:val="ListBullet"/>
        <w:numPr>
          <w:ilvl w:val="0"/>
          <w:numId w:val="1"/>
        </w:numPr>
        <w:jc w:val="both"/>
        <w:rPr>
          <w:rFonts w:ascii="Tahoma" w:hAnsi="Tahoma"/>
          <w:sz w:val="20"/>
          <w:szCs w:val="20"/>
        </w:rPr>
      </w:pPr>
      <w:r>
        <w:rPr>
          <w:rFonts w:ascii="Tahoma" w:hAnsi="Tahoma"/>
          <w:sz w:val="20"/>
          <w:szCs w:val="20"/>
        </w:rPr>
        <w:t>Kategoria I – „Młodzi Odkrywcy”: uczniowie klas VII–VIII szkół podstawowych.</w:t>
      </w:r>
    </w:p>
    <w:p>
      <w:pPr>
        <w:pStyle w:val="ListBullet"/>
        <w:numPr>
          <w:ilvl w:val="0"/>
          <w:numId w:val="1"/>
        </w:numPr>
        <w:jc w:val="both"/>
        <w:rPr>
          <w:rFonts w:ascii="Tahoma" w:hAnsi="Tahoma"/>
          <w:sz w:val="20"/>
          <w:szCs w:val="20"/>
        </w:rPr>
      </w:pPr>
      <w:r>
        <w:rPr>
          <w:rFonts w:ascii="Tahoma" w:hAnsi="Tahoma"/>
          <w:sz w:val="20"/>
          <w:szCs w:val="20"/>
        </w:rPr>
        <w:t>Kategoria II – „Młodzi Innowatorzy”: uczniowie szkół ponadpodstawowych.</w:t>
      </w:r>
    </w:p>
    <w:p>
      <w:pPr>
        <w:pStyle w:val="Normal"/>
        <w:jc w:val="both"/>
        <w:rPr>
          <w:rFonts w:ascii="Tahoma" w:hAnsi="Tahoma"/>
          <w:sz w:val="20"/>
          <w:szCs w:val="20"/>
        </w:rPr>
      </w:pPr>
      <w:r>
        <w:rPr>
          <w:rFonts w:ascii="Tahoma" w:hAnsi="Tahoma"/>
          <w:b w:val="false"/>
          <w:i w:val="false"/>
          <w:sz w:val="20"/>
          <w:szCs w:val="20"/>
        </w:rPr>
        <w:t>Uczestnik musi być uczniem szkoły w dniu zgłoszenia. O przynależności do kategorii decyduje typ klasy/szkoły wskazany w zgłoszeniu. W przypadku wątpliwości rozstrzyga Organizator przed dopuszczeniem pracy do oceny.</w:t>
      </w:r>
    </w:p>
    <w:p>
      <w:pPr>
        <w:pStyle w:val="Nagwek2"/>
        <w:jc w:val="both"/>
        <w:rPr>
          <w:rFonts w:ascii="Tahoma" w:hAnsi="Tahoma"/>
          <w:sz w:val="20"/>
          <w:szCs w:val="20"/>
        </w:rPr>
      </w:pPr>
      <w:r>
        <w:rPr>
          <w:rFonts w:ascii="Tahoma" w:hAnsi="Tahoma"/>
          <w:sz w:val="20"/>
          <w:szCs w:val="20"/>
        </w:rPr>
        <w:t>§ 3. Formy udziału</w:t>
      </w:r>
    </w:p>
    <w:p>
      <w:pPr>
        <w:pStyle w:val="ListBullet"/>
        <w:numPr>
          <w:ilvl w:val="0"/>
          <w:numId w:val="1"/>
        </w:numPr>
        <w:jc w:val="both"/>
        <w:rPr>
          <w:rFonts w:ascii="Tahoma" w:hAnsi="Tahoma"/>
          <w:sz w:val="20"/>
          <w:szCs w:val="20"/>
        </w:rPr>
      </w:pPr>
      <w:r>
        <w:rPr>
          <w:rFonts w:ascii="Tahoma" w:hAnsi="Tahoma"/>
          <w:sz w:val="20"/>
          <w:szCs w:val="20"/>
        </w:rPr>
        <w:t>Udział indywidualny albo zespołowy. Zespół może liczyć maksymalnie 3 uczniów.</w:t>
      </w:r>
    </w:p>
    <w:p>
      <w:pPr>
        <w:pStyle w:val="ListBullet"/>
        <w:numPr>
          <w:ilvl w:val="0"/>
          <w:numId w:val="1"/>
        </w:numPr>
        <w:jc w:val="both"/>
        <w:rPr>
          <w:rFonts w:ascii="Tahoma" w:hAnsi="Tahoma"/>
          <w:sz w:val="20"/>
          <w:szCs w:val="20"/>
        </w:rPr>
      </w:pPr>
      <w:r>
        <w:rPr>
          <w:rFonts w:ascii="Tahoma" w:hAnsi="Tahoma"/>
          <w:sz w:val="20"/>
          <w:szCs w:val="20"/>
        </w:rPr>
        <w:t>Każdy uczestnik może być autorem lub współautorem jednej pracy konkursowej.</w:t>
      </w:r>
    </w:p>
    <w:p>
      <w:pPr>
        <w:pStyle w:val="ListBullet"/>
        <w:numPr>
          <w:ilvl w:val="0"/>
          <w:numId w:val="1"/>
        </w:numPr>
        <w:jc w:val="both"/>
        <w:rPr>
          <w:rFonts w:ascii="Tahoma" w:hAnsi="Tahoma"/>
          <w:sz w:val="20"/>
          <w:szCs w:val="20"/>
        </w:rPr>
      </w:pPr>
      <w:r>
        <w:rPr>
          <w:rFonts w:ascii="Tahoma" w:hAnsi="Tahoma"/>
          <w:sz w:val="20"/>
          <w:szCs w:val="20"/>
        </w:rPr>
        <w:t>Zespół zgłasza jedną wspólną pracę; wskazuje jedną osobę do kontaktu.</w:t>
      </w:r>
    </w:p>
    <w:p>
      <w:pPr>
        <w:pStyle w:val="ListBullet"/>
        <w:numPr>
          <w:ilvl w:val="0"/>
          <w:numId w:val="1"/>
        </w:numPr>
        <w:jc w:val="both"/>
        <w:rPr>
          <w:rFonts w:ascii="Tahoma" w:hAnsi="Tahoma"/>
          <w:sz w:val="20"/>
          <w:szCs w:val="20"/>
        </w:rPr>
      </w:pPr>
      <w:r>
        <w:rPr>
          <w:rFonts w:ascii="Tahoma" w:hAnsi="Tahoma"/>
          <w:sz w:val="20"/>
          <w:szCs w:val="20"/>
        </w:rPr>
        <w:t>Udział w konkursie jest bezpłatny i dobrowolny.</w:t>
      </w:r>
    </w:p>
    <w:p>
      <w:pPr>
        <w:pStyle w:val="ListBullet"/>
        <w:numPr>
          <w:ilvl w:val="0"/>
          <w:numId w:val="1"/>
        </w:numPr>
        <w:jc w:val="both"/>
        <w:rPr>
          <w:rFonts w:ascii="Tahoma" w:hAnsi="Tahoma"/>
          <w:sz w:val="20"/>
          <w:szCs w:val="20"/>
        </w:rPr>
      </w:pPr>
      <w:r>
        <w:rPr>
          <w:rFonts w:ascii="Tahoma" w:hAnsi="Tahoma"/>
          <w:sz w:val="20"/>
          <w:szCs w:val="20"/>
        </w:rPr>
        <w:t>Nauczyciel lub doradca zawodowy może wspierać organizacyjnie uczniów, ale praca musi przedstawiać pomysł i wkład uczestnika/uczestników.</w:t>
      </w:r>
    </w:p>
    <w:p>
      <w:pPr>
        <w:pStyle w:val="Nagwek2"/>
        <w:jc w:val="both"/>
        <w:rPr>
          <w:rFonts w:ascii="Tahoma" w:hAnsi="Tahoma"/>
          <w:sz w:val="20"/>
          <w:szCs w:val="20"/>
        </w:rPr>
      </w:pPr>
      <w:r>
        <w:rPr>
          <w:rFonts w:ascii="Tahoma" w:hAnsi="Tahoma"/>
          <w:sz w:val="20"/>
          <w:szCs w:val="20"/>
        </w:rPr>
        <w:t>§ 4. Zadanie konkursowe – wybór jednej formy</w:t>
      </w:r>
    </w:p>
    <w:tbl>
      <w:tblPr>
        <w:tblStyle w:val="TableGrid"/>
        <w:tblW w:w="9858"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4929"/>
        <w:gridCol w:w="4928"/>
      </w:tblGrid>
      <w:tr>
        <w:trPr/>
        <w:tc>
          <w:tcPr>
            <w:tcW w:w="4929" w:type="dxa"/>
            <w:tcBorders/>
            <w:shd w:fill="17324D" w:val="clear"/>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b/>
                <w:color w:val="FFFFFF"/>
                <w:kern w:val="0"/>
                <w:sz w:val="20"/>
                <w:szCs w:val="20"/>
                <w:lang w:val="en-US" w:eastAsia="en-US" w:bidi="ar-SA"/>
              </w:rPr>
              <w:t>Forma</w:t>
            </w:r>
          </w:p>
        </w:tc>
        <w:tc>
          <w:tcPr>
            <w:tcW w:w="4928" w:type="dxa"/>
            <w:tcBorders/>
            <w:shd w:fill="17324D" w:val="clear"/>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b/>
                <w:color w:val="FFFFFF"/>
                <w:kern w:val="0"/>
                <w:sz w:val="20"/>
                <w:szCs w:val="20"/>
                <w:lang w:val="en-US" w:eastAsia="en-US" w:bidi="ar-SA"/>
              </w:rPr>
              <w:t>Wymagania i przykładowa treść</w:t>
            </w:r>
          </w:p>
        </w:tc>
      </w:tr>
      <w:tr>
        <w:trPr/>
        <w:tc>
          <w:tcPr>
            <w:tcW w:w="4929" w:type="dxa"/>
            <w:tcBorders/>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kern w:val="0"/>
                <w:sz w:val="20"/>
                <w:szCs w:val="20"/>
                <w:lang w:val="en-US" w:eastAsia="en-US" w:bidi="ar-SA"/>
              </w:rPr>
              <w:t>1. Rzemiosło w 60 sekund</w:t>
            </w:r>
          </w:p>
        </w:tc>
        <w:tc>
          <w:tcPr>
            <w:tcW w:w="4928" w:type="dxa"/>
            <w:tcBorders/>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kern w:val="0"/>
                <w:sz w:val="20"/>
                <w:szCs w:val="20"/>
                <w:lang w:val="en-US" w:eastAsia="en-US" w:bidi="ar-SA"/>
              </w:rPr>
              <w:t>Film pionowy (zalecane 9:16), maks. 60 sekund; pokaż zawód, pracę, narzędzie lub warsztat. MP4/MOV, do 300 MB.</w:t>
            </w:r>
          </w:p>
        </w:tc>
      </w:tr>
      <w:tr>
        <w:trPr/>
        <w:tc>
          <w:tcPr>
            <w:tcW w:w="4929" w:type="dxa"/>
            <w:tcBorders/>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kern w:val="0"/>
                <w:sz w:val="20"/>
                <w:szCs w:val="20"/>
                <w:lang w:val="en-US" w:eastAsia="en-US" w:bidi="ar-SA"/>
              </w:rPr>
              <w:t>2. Rzemiosło przyszłości – plakat</w:t>
            </w:r>
          </w:p>
        </w:tc>
        <w:tc>
          <w:tcPr>
            <w:tcW w:w="4928" w:type="dxa"/>
            <w:tcBorders/>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kern w:val="0"/>
                <w:sz w:val="20"/>
                <w:szCs w:val="20"/>
                <w:lang w:val="en-US" w:eastAsia="en-US" w:bidi="ar-SA"/>
              </w:rPr>
              <w:t>Plakat A4–A3, ręczny lub cyfrowy, prezentujący rzemiosło i jego przyszłość.</w:t>
            </w:r>
          </w:p>
        </w:tc>
      </w:tr>
      <w:tr>
        <w:trPr/>
        <w:tc>
          <w:tcPr>
            <w:tcW w:w="4929" w:type="dxa"/>
            <w:tcBorders/>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kern w:val="0"/>
                <w:sz w:val="20"/>
                <w:szCs w:val="20"/>
                <w:lang w:val="en-US" w:eastAsia="en-US" w:bidi="ar-SA"/>
              </w:rPr>
              <w:t>3. Mistrzowie sąsiedztwa</w:t>
            </w:r>
          </w:p>
        </w:tc>
        <w:tc>
          <w:tcPr>
            <w:tcW w:w="4928" w:type="dxa"/>
            <w:tcBorders/>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kern w:val="0"/>
                <w:sz w:val="20"/>
                <w:szCs w:val="20"/>
                <w:lang w:val="en-US" w:eastAsia="en-US" w:bidi="ar-SA"/>
              </w:rPr>
              <w:t>Mini-reportaż o lokalnym rzemieślniku: tekst do 3000 znaków, do 8 zdjęć lub film do 3 minut (pionowy).</w:t>
            </w:r>
          </w:p>
        </w:tc>
      </w:tr>
    </w:tbl>
    <w:p>
      <w:pPr>
        <w:pStyle w:val="Normal"/>
        <w:jc w:val="both"/>
        <w:rPr>
          <w:rFonts w:ascii="Tahoma" w:hAnsi="Tahoma"/>
          <w:sz w:val="20"/>
          <w:szCs w:val="20"/>
        </w:rPr>
      </w:pPr>
      <w:r>
        <w:rPr>
          <w:rFonts w:ascii="Tahoma" w:hAnsi="Tahoma"/>
          <w:sz w:val="20"/>
          <w:szCs w:val="20"/>
        </w:rPr>
      </w:r>
    </w:p>
    <w:p>
      <w:pPr>
        <w:pStyle w:val="Normal"/>
        <w:jc w:val="both"/>
        <w:rPr>
          <w:rFonts w:ascii="Tahoma" w:hAnsi="Tahoma"/>
          <w:sz w:val="20"/>
          <w:szCs w:val="20"/>
        </w:rPr>
      </w:pPr>
      <w:r>
        <w:rPr>
          <w:rFonts w:ascii="Tahoma" w:hAnsi="Tahoma"/>
          <w:b w:val="false"/>
          <w:i w:val="false"/>
          <w:sz w:val="20"/>
          <w:szCs w:val="20"/>
        </w:rPr>
        <w:t>Przykładowe tematy: „Czy zawody mojego dziadka mają przyszłość?”, „Jak będzie wyglądał warsztat za 20 lat?”, „Czy AI może pomóc stolarzowi, mechanikowi lub fryzjerowi?”, „Mój pomysł na własną firmę rzemieślniczą”, „Rzemieślnik, którego warto poznać”, „Czy naprawianie jest lepsze od kupowania?”.</w:t>
      </w:r>
    </w:p>
    <w:p>
      <w:pPr>
        <w:pStyle w:val="Nagwek2"/>
        <w:jc w:val="both"/>
        <w:rPr>
          <w:rFonts w:ascii="Tahoma" w:hAnsi="Tahoma"/>
          <w:sz w:val="20"/>
          <w:szCs w:val="20"/>
        </w:rPr>
      </w:pPr>
      <w:r>
        <w:rPr>
          <w:rFonts w:ascii="Tahoma" w:hAnsi="Tahoma"/>
          <w:sz w:val="20"/>
          <w:szCs w:val="20"/>
        </w:rPr>
        <w:t>§ 5. Wymogi techniczne i dostępność</w:t>
      </w:r>
    </w:p>
    <w:p>
      <w:pPr>
        <w:pStyle w:val="ListBullet"/>
        <w:numPr>
          <w:ilvl w:val="0"/>
          <w:numId w:val="1"/>
        </w:numPr>
        <w:jc w:val="both"/>
        <w:rPr>
          <w:rFonts w:ascii="Tahoma" w:hAnsi="Tahoma"/>
          <w:sz w:val="20"/>
          <w:szCs w:val="20"/>
        </w:rPr>
      </w:pPr>
      <w:r>
        <w:rPr>
          <w:rFonts w:ascii="Tahoma" w:hAnsi="Tahoma"/>
          <w:sz w:val="20"/>
          <w:szCs w:val="20"/>
        </w:rPr>
        <w:t>Praca może być przygotowana przy użyciu telefonu, komputera lub tradycyjnych materiałów plastycznych. Organizator nie wymaga profesjonalnego sprzętu.</w:t>
      </w:r>
    </w:p>
    <w:p>
      <w:pPr>
        <w:pStyle w:val="ListBullet"/>
        <w:numPr>
          <w:ilvl w:val="0"/>
          <w:numId w:val="1"/>
        </w:numPr>
        <w:jc w:val="both"/>
        <w:rPr>
          <w:rFonts w:ascii="Tahoma" w:hAnsi="Tahoma"/>
          <w:sz w:val="20"/>
          <w:szCs w:val="20"/>
        </w:rPr>
      </w:pPr>
      <w:r>
        <w:rPr>
          <w:rFonts w:ascii="Tahoma" w:hAnsi="Tahoma"/>
          <w:sz w:val="20"/>
          <w:szCs w:val="20"/>
        </w:rPr>
        <w:t>Film „Rzemiosło w 60 sekund”: MP4 lub MOV, obowiązkowa orientacja pionowa (obowiązkowe proporcje 9:16), maksymalnie 60 sekund i 300 MB.</w:t>
      </w:r>
    </w:p>
    <w:p>
      <w:pPr>
        <w:pStyle w:val="ListBullet"/>
        <w:numPr>
          <w:ilvl w:val="0"/>
          <w:numId w:val="1"/>
        </w:numPr>
        <w:jc w:val="both"/>
        <w:rPr>
          <w:rFonts w:ascii="Tahoma" w:hAnsi="Tahoma"/>
          <w:sz w:val="20"/>
          <w:szCs w:val="20"/>
        </w:rPr>
      </w:pPr>
      <w:r>
        <w:rPr>
          <w:rFonts w:ascii="Tahoma" w:hAnsi="Tahoma"/>
          <w:sz w:val="20"/>
          <w:szCs w:val="20"/>
        </w:rPr>
        <w:t>Plakat „Rzemiosło przyszłości”: format A4–A3, PDF, JPG lub PNG; praca papierowa może zostać dostarczona jako skan/zdjęcie albo oryginał po uzgodnieniu.</w:t>
      </w:r>
    </w:p>
    <w:p>
      <w:pPr>
        <w:pStyle w:val="ListBullet"/>
        <w:numPr>
          <w:ilvl w:val="0"/>
          <w:numId w:val="1"/>
        </w:numPr>
        <w:jc w:val="both"/>
        <w:rPr>
          <w:rFonts w:ascii="Tahoma" w:hAnsi="Tahoma"/>
          <w:sz w:val="20"/>
          <w:szCs w:val="20"/>
        </w:rPr>
      </w:pPr>
      <w:r>
        <w:rPr>
          <w:rFonts w:ascii="Tahoma" w:hAnsi="Tahoma"/>
          <w:sz w:val="20"/>
          <w:szCs w:val="20"/>
        </w:rPr>
        <w:t>„</w:t>
      </w:r>
      <w:r>
        <w:rPr>
          <w:rFonts w:ascii="Tahoma" w:hAnsi="Tahoma"/>
          <w:sz w:val="20"/>
          <w:szCs w:val="20"/>
        </w:rPr>
        <w:t>Mistrzowie sąsiedztwa”: mini-reportaż tekstowy do 3 000 znaków ze spacjami, fotoreportaż do 8 zdjęć lub film do 3 minut (film w orientacji pionowej (9:16)).</w:t>
      </w:r>
    </w:p>
    <w:p>
      <w:pPr>
        <w:pStyle w:val="ListBullet"/>
        <w:numPr>
          <w:ilvl w:val="0"/>
          <w:numId w:val="1"/>
        </w:numPr>
        <w:jc w:val="both"/>
        <w:rPr>
          <w:rFonts w:ascii="Tahoma" w:hAnsi="Tahoma"/>
          <w:sz w:val="20"/>
          <w:szCs w:val="20"/>
        </w:rPr>
      </w:pPr>
      <w:r>
        <w:rPr>
          <w:rFonts w:ascii="Tahoma" w:hAnsi="Tahoma"/>
          <w:sz w:val="20"/>
          <w:szCs w:val="20"/>
        </w:rPr>
        <w:t>Prace można przygotować telefonem lub bezpłatnymi narzędziami; jakość sprzętu nie wpływa na ocenę.</w:t>
      </w:r>
    </w:p>
    <w:p>
      <w:pPr>
        <w:pStyle w:val="ListBullet"/>
        <w:numPr>
          <w:ilvl w:val="0"/>
          <w:numId w:val="1"/>
        </w:numPr>
        <w:jc w:val="both"/>
        <w:rPr>
          <w:rFonts w:ascii="Tahoma" w:hAnsi="Tahoma"/>
          <w:sz w:val="20"/>
          <w:szCs w:val="20"/>
        </w:rPr>
      </w:pPr>
      <w:r>
        <w:rPr>
          <w:rFonts w:ascii="Tahoma" w:hAnsi="Tahoma"/>
          <w:sz w:val="20"/>
          <w:szCs w:val="20"/>
        </w:rPr>
        <w:t>Do każdej pracy należy dołączyć krótki opis: tytuł, wybrany zawód/temat, autorzy, źródła i narzędzia wykorzystane przy tworzeniu.</w:t>
      </w:r>
    </w:p>
    <w:p>
      <w:pPr>
        <w:pStyle w:val="ListBullet"/>
        <w:numPr>
          <w:ilvl w:val="0"/>
          <w:numId w:val="1"/>
        </w:numPr>
        <w:jc w:val="both"/>
        <w:rPr>
          <w:rFonts w:ascii="Tahoma" w:hAnsi="Tahoma"/>
          <w:sz w:val="20"/>
          <w:szCs w:val="20"/>
        </w:rPr>
      </w:pPr>
      <w:r>
        <w:rPr>
          <w:rFonts w:ascii="Tahoma" w:hAnsi="Tahoma"/>
          <w:sz w:val="20"/>
          <w:szCs w:val="20"/>
        </w:rPr>
        <w:t>Nie wolno wykorzystywać materiałów naruszających prawa autorskie, prywatność lub dobre imię innych osób. Muzyka, zdjęcia i grafiki muszą być własne, na odpowiedniej licencji albo użyte za zgodą uprawnionych.</w:t>
      </w:r>
    </w:p>
    <w:p>
      <w:pPr>
        <w:pStyle w:val="Nagwek2"/>
        <w:jc w:val="both"/>
        <w:rPr>
          <w:rFonts w:ascii="Tahoma" w:hAnsi="Tahoma"/>
          <w:sz w:val="20"/>
          <w:szCs w:val="20"/>
        </w:rPr>
      </w:pPr>
      <w:r>
        <w:rPr>
          <w:rFonts w:ascii="Tahoma" w:hAnsi="Tahoma"/>
          <w:sz w:val="20"/>
          <w:szCs w:val="20"/>
        </w:rPr>
        <w:t>§ 6. Zgłoszenie i dostarczenie pracy</w:t>
      </w:r>
    </w:p>
    <w:p>
      <w:pPr>
        <w:pStyle w:val="Normal"/>
        <w:jc w:val="both"/>
        <w:rPr>
          <w:rFonts w:ascii="Tahoma" w:hAnsi="Tahoma"/>
          <w:sz w:val="20"/>
          <w:szCs w:val="20"/>
        </w:rPr>
      </w:pPr>
      <w:r>
        <w:rPr>
          <w:rFonts w:ascii="Tahoma" w:hAnsi="Tahoma"/>
          <w:b w:val="false"/>
          <w:i w:val="false"/>
          <w:sz w:val="20"/>
          <w:szCs w:val="20"/>
        </w:rPr>
        <w:t>Zgłoszenia przyjmowane są od 9 listopada 2026 r. do 30 listopada 2026 r. Pracę wraz z formularzem należy przekazać: biuro@cechstarachowice.pl lub osobiście: Centrum Kreatywności, Pałacyk, ul. Konstytucji 3 Maja 15, Starachowice. Za datę zgłoszenia uznaje się dzień otrzymania kompletu dokumentów przez Organizatora.</w:t>
      </w:r>
    </w:p>
    <w:p>
      <w:pPr>
        <w:pStyle w:val="Normal"/>
        <w:jc w:val="both"/>
        <w:rPr>
          <w:rFonts w:ascii="Tahoma" w:hAnsi="Tahoma"/>
          <w:sz w:val="20"/>
          <w:szCs w:val="20"/>
        </w:rPr>
      </w:pPr>
      <w:r>
        <w:rPr>
          <w:rFonts w:ascii="Tahoma" w:hAnsi="Tahoma"/>
          <w:b w:val="false"/>
          <w:i w:val="false"/>
          <w:sz w:val="20"/>
          <w:szCs w:val="20"/>
        </w:rPr>
        <w:t>Szkoła może przekazać zbiorczą informację o zgłoszeniach, jednak każdy uczestnik lub zespół musi dostarczyć własny formularz. Zgłoszenia niekompletne Organizator może skierować do uzupełnienia w terminie 3 dni roboczych.</w:t>
      </w:r>
    </w:p>
    <w:p>
      <w:pPr>
        <w:pStyle w:val="Nagwek2"/>
        <w:jc w:val="both"/>
        <w:rPr>
          <w:rFonts w:ascii="Tahoma" w:hAnsi="Tahoma"/>
          <w:sz w:val="20"/>
          <w:szCs w:val="20"/>
        </w:rPr>
      </w:pPr>
      <w:r>
        <w:rPr>
          <w:rFonts w:ascii="Tahoma" w:hAnsi="Tahoma"/>
          <w:sz w:val="20"/>
          <w:szCs w:val="20"/>
        </w:rPr>
        <w:t>§ 7. Ocena prac</w:t>
      </w:r>
    </w:p>
    <w:p>
      <w:pPr>
        <w:pStyle w:val="Normal"/>
        <w:jc w:val="both"/>
        <w:rPr>
          <w:rFonts w:ascii="Tahoma" w:hAnsi="Tahoma"/>
          <w:sz w:val="20"/>
          <w:szCs w:val="20"/>
        </w:rPr>
      </w:pPr>
      <w:r>
        <w:rPr>
          <w:rFonts w:ascii="Tahoma" w:hAnsi="Tahoma"/>
          <w:b w:val="false"/>
          <w:i w:val="false"/>
          <w:sz w:val="20"/>
          <w:szCs w:val="20"/>
        </w:rPr>
        <w:t>Prace ocenia komisja powołana przez Organizatora. Rekomendowany skład: przedstawiciel Cechu, lokalny rzemieślnik/mistrz szkolący, przedstawiciel szkoły lub doradca zawodowy oraz osoba posiadająca kompetencje medialne, graficzne lub cyfrowe.</w:t>
      </w:r>
    </w:p>
    <w:tbl>
      <w:tblPr>
        <w:tblStyle w:val="TableGrid"/>
        <w:tblW w:w="9858"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4929"/>
        <w:gridCol w:w="4928"/>
      </w:tblGrid>
      <w:tr>
        <w:trPr/>
        <w:tc>
          <w:tcPr>
            <w:tcW w:w="4929" w:type="dxa"/>
            <w:tcBorders/>
            <w:shd w:fill="17324D" w:val="clear"/>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b/>
                <w:color w:val="FFFFFF"/>
                <w:kern w:val="0"/>
                <w:sz w:val="20"/>
                <w:szCs w:val="20"/>
                <w:lang w:val="en-US" w:eastAsia="en-US" w:bidi="ar-SA"/>
              </w:rPr>
              <w:t>Kryterium</w:t>
            </w:r>
          </w:p>
        </w:tc>
        <w:tc>
          <w:tcPr>
            <w:tcW w:w="4928" w:type="dxa"/>
            <w:tcBorders/>
            <w:shd w:fill="17324D" w:val="clear"/>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b/>
                <w:color w:val="FFFFFF"/>
                <w:kern w:val="0"/>
                <w:sz w:val="20"/>
                <w:szCs w:val="20"/>
                <w:lang w:val="en-US" w:eastAsia="en-US" w:bidi="ar-SA"/>
              </w:rPr>
              <w:t>Punkty</w:t>
            </w:r>
          </w:p>
        </w:tc>
      </w:tr>
      <w:tr>
        <w:trPr/>
        <w:tc>
          <w:tcPr>
            <w:tcW w:w="4929" w:type="dxa"/>
            <w:tcBorders/>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b w:val="false"/>
                <w:kern w:val="0"/>
                <w:sz w:val="20"/>
                <w:szCs w:val="20"/>
                <w:lang w:val="en-US" w:eastAsia="en-US" w:bidi="ar-SA"/>
              </w:rPr>
              <w:t>Pomysłowość i kreatywność</w:t>
            </w:r>
          </w:p>
        </w:tc>
        <w:tc>
          <w:tcPr>
            <w:tcW w:w="4928" w:type="dxa"/>
            <w:tcBorders/>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b w:val="false"/>
                <w:kern w:val="0"/>
                <w:sz w:val="20"/>
                <w:szCs w:val="20"/>
                <w:lang w:val="en-US" w:eastAsia="en-US" w:bidi="ar-SA"/>
              </w:rPr>
              <w:t>0–25</w:t>
            </w:r>
          </w:p>
        </w:tc>
      </w:tr>
      <w:tr>
        <w:trPr/>
        <w:tc>
          <w:tcPr>
            <w:tcW w:w="4929" w:type="dxa"/>
            <w:tcBorders/>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b w:val="false"/>
                <w:kern w:val="0"/>
                <w:sz w:val="20"/>
                <w:szCs w:val="20"/>
                <w:lang w:val="en-US" w:eastAsia="en-US" w:bidi="ar-SA"/>
              </w:rPr>
              <w:t>Związek z tematyką rzemiosła i kształcenia dualnego</w:t>
            </w:r>
          </w:p>
        </w:tc>
        <w:tc>
          <w:tcPr>
            <w:tcW w:w="4928" w:type="dxa"/>
            <w:tcBorders/>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b w:val="false"/>
                <w:kern w:val="0"/>
                <w:sz w:val="20"/>
                <w:szCs w:val="20"/>
                <w:lang w:val="en-US" w:eastAsia="en-US" w:bidi="ar-SA"/>
              </w:rPr>
              <w:t>0–25</w:t>
            </w:r>
          </w:p>
        </w:tc>
      </w:tr>
      <w:tr>
        <w:trPr/>
        <w:tc>
          <w:tcPr>
            <w:tcW w:w="4929" w:type="dxa"/>
            <w:tcBorders/>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b w:val="false"/>
                <w:kern w:val="0"/>
                <w:sz w:val="20"/>
                <w:szCs w:val="20"/>
                <w:lang w:val="en-US" w:eastAsia="en-US" w:bidi="ar-SA"/>
              </w:rPr>
              <w:t>Oryginalność, samodzielność i wkład uczestnika</w:t>
            </w:r>
          </w:p>
        </w:tc>
        <w:tc>
          <w:tcPr>
            <w:tcW w:w="4928" w:type="dxa"/>
            <w:tcBorders/>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b w:val="false"/>
                <w:kern w:val="0"/>
                <w:sz w:val="20"/>
                <w:szCs w:val="20"/>
                <w:lang w:val="en-US" w:eastAsia="en-US" w:bidi="ar-SA"/>
              </w:rPr>
              <w:t>0–20</w:t>
            </w:r>
          </w:p>
        </w:tc>
      </w:tr>
      <w:tr>
        <w:trPr/>
        <w:tc>
          <w:tcPr>
            <w:tcW w:w="4929" w:type="dxa"/>
            <w:tcBorders/>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b w:val="false"/>
                <w:kern w:val="0"/>
                <w:sz w:val="20"/>
                <w:szCs w:val="20"/>
                <w:lang w:val="en-US" w:eastAsia="en-US" w:bidi="ar-SA"/>
              </w:rPr>
              <w:t>Czytelność i sposób przedstawienia pomysłu</w:t>
            </w:r>
          </w:p>
        </w:tc>
        <w:tc>
          <w:tcPr>
            <w:tcW w:w="4928" w:type="dxa"/>
            <w:tcBorders/>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b w:val="false"/>
                <w:kern w:val="0"/>
                <w:sz w:val="20"/>
                <w:szCs w:val="20"/>
                <w:lang w:val="en-US" w:eastAsia="en-US" w:bidi="ar-SA"/>
              </w:rPr>
              <w:t>0–20</w:t>
            </w:r>
          </w:p>
        </w:tc>
      </w:tr>
      <w:tr>
        <w:trPr/>
        <w:tc>
          <w:tcPr>
            <w:tcW w:w="4929" w:type="dxa"/>
            <w:tcBorders/>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b w:val="false"/>
                <w:kern w:val="0"/>
                <w:sz w:val="20"/>
                <w:szCs w:val="20"/>
                <w:lang w:val="en-US" w:eastAsia="en-US" w:bidi="ar-SA"/>
              </w:rPr>
              <w:t>Lokalny kontekst – odniesienie do Starachowic/powiatu lub lokalnego rzemieślnika</w:t>
            </w:r>
          </w:p>
        </w:tc>
        <w:tc>
          <w:tcPr>
            <w:tcW w:w="4928" w:type="dxa"/>
            <w:tcBorders/>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b w:val="false"/>
                <w:kern w:val="0"/>
                <w:sz w:val="20"/>
                <w:szCs w:val="20"/>
                <w:lang w:val="en-US" w:eastAsia="en-US" w:bidi="ar-SA"/>
              </w:rPr>
              <w:t>0–10</w:t>
            </w:r>
          </w:p>
        </w:tc>
      </w:tr>
      <w:tr>
        <w:trPr/>
        <w:tc>
          <w:tcPr>
            <w:tcW w:w="4929" w:type="dxa"/>
            <w:tcBorders/>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b w:val="false"/>
                <w:kern w:val="0"/>
                <w:sz w:val="20"/>
                <w:szCs w:val="20"/>
                <w:lang w:val="en-US" w:eastAsia="en-US" w:bidi="ar-SA"/>
              </w:rPr>
              <w:t>Łącznie</w:t>
            </w:r>
          </w:p>
        </w:tc>
        <w:tc>
          <w:tcPr>
            <w:tcW w:w="4928" w:type="dxa"/>
            <w:tcBorders/>
            <w:vAlign w:val="center"/>
          </w:tcPr>
          <w:p>
            <w:pPr>
              <w:pStyle w:val="Normal"/>
              <w:widowControl w:val="false"/>
              <w:suppressAutoHyphens w:val="true"/>
              <w:spacing w:lineRule="auto" w:line="240" w:before="0" w:after="0"/>
              <w:jc w:val="both"/>
              <w:rPr>
                <w:rFonts w:ascii="Tahoma" w:hAnsi="Tahoma" w:cs=""/>
                <w:kern w:val="0"/>
                <w:sz w:val="20"/>
                <w:szCs w:val="20"/>
                <w:lang w:val="en-US" w:eastAsia="en-US" w:bidi="ar-SA"/>
              </w:rPr>
            </w:pPr>
            <w:r>
              <w:rPr>
                <w:rFonts w:cs="" w:ascii="Tahoma" w:hAnsi="Tahoma"/>
                <w:b w:val="false"/>
                <w:kern w:val="0"/>
                <w:sz w:val="20"/>
                <w:szCs w:val="20"/>
                <w:lang w:val="en-US" w:eastAsia="en-US" w:bidi="ar-SA"/>
              </w:rPr>
              <w:t>0–100</w:t>
            </w:r>
          </w:p>
        </w:tc>
      </w:tr>
    </w:tbl>
    <w:p>
      <w:pPr>
        <w:pStyle w:val="Normal"/>
        <w:jc w:val="both"/>
        <w:rPr>
          <w:rFonts w:ascii="Tahoma" w:hAnsi="Tahoma"/>
          <w:sz w:val="20"/>
          <w:szCs w:val="20"/>
        </w:rPr>
      </w:pPr>
      <w:r>
        <w:rPr>
          <w:rFonts w:ascii="Tahoma" w:hAnsi="Tahoma"/>
          <w:sz w:val="20"/>
          <w:szCs w:val="20"/>
        </w:rPr>
      </w:r>
    </w:p>
    <w:p>
      <w:pPr>
        <w:pStyle w:val="Normal"/>
        <w:jc w:val="both"/>
        <w:rPr>
          <w:rFonts w:ascii="Tahoma" w:hAnsi="Tahoma"/>
          <w:sz w:val="20"/>
          <w:szCs w:val="20"/>
        </w:rPr>
      </w:pPr>
      <w:r>
        <w:rPr>
          <w:rFonts w:ascii="Tahoma" w:hAnsi="Tahoma"/>
          <w:sz w:val="20"/>
          <w:szCs w:val="20"/>
        </w:rPr>
        <w:t>Komisja może przyznać miejsca I–III i wyróżnienia w każdej kategorii wiekowej. Osobno ustala wyniki „Ligi Szkół” według zasad opisanych w § 8. Nagroda publiczności jest odrębna od punktacji jury. W przypadku remisu decyduje wyższa liczba punktów za kreatywność, a następnie głosowanie komisji.</w:t>
      </w:r>
    </w:p>
    <w:p>
      <w:pPr>
        <w:pStyle w:val="Normal"/>
        <w:jc w:val="both"/>
        <w:rPr>
          <w:rFonts w:ascii="Tahoma" w:hAnsi="Tahoma"/>
          <w:sz w:val="20"/>
          <w:szCs w:val="20"/>
        </w:rPr>
      </w:pPr>
      <w:r>
        <w:rPr>
          <w:rFonts w:ascii="Tahoma" w:hAnsi="Tahoma"/>
          <w:b w:val="false"/>
          <w:i w:val="false"/>
          <w:sz w:val="20"/>
          <w:szCs w:val="20"/>
        </w:rPr>
        <w:t>Komisja może nie przyznać nagrody w danej kategorii, jeżeli poziom prac nie pozwala na rzetelne wyłonienie laureatów. Decyzje komisji są ostateczne w zakresie oceny merytorycznej; uczestnik może zgłosić zastrzeżenie dotyczące procedury w ciągu 3 dni roboczych od publikacji wyników.</w:t>
      </w:r>
    </w:p>
    <w:p>
      <w:pPr>
        <w:pStyle w:val="Nagwek2"/>
        <w:jc w:val="both"/>
        <w:rPr>
          <w:rFonts w:ascii="Tahoma" w:hAnsi="Tahoma"/>
          <w:sz w:val="20"/>
          <w:szCs w:val="20"/>
        </w:rPr>
      </w:pPr>
      <w:r>
        <w:rPr>
          <w:rFonts w:ascii="Tahoma" w:hAnsi="Tahoma"/>
          <w:sz w:val="20"/>
          <w:szCs w:val="20"/>
        </w:rPr>
        <w:t>§ 8. Nagrody i finał</w:t>
      </w:r>
    </w:p>
    <w:p>
      <w:pPr>
        <w:pStyle w:val="Normal"/>
        <w:jc w:val="both"/>
        <w:rPr>
          <w:rFonts w:ascii="Tahoma" w:hAnsi="Tahoma"/>
          <w:sz w:val="20"/>
          <w:szCs w:val="20"/>
        </w:rPr>
      </w:pPr>
      <w:r>
        <w:rPr>
          <w:rFonts w:ascii="Tahoma" w:hAnsi="Tahoma"/>
          <w:sz w:val="20"/>
          <w:szCs w:val="20"/>
        </w:rPr>
        <w:t>Łączny budżet nagród wynosi 12 500 zł: 7 500 zł na nagrody dla uczniów i 5 000 zł na nagrody dla szkół w „Lidze Szkół”. Nagroda główna dla ucznia wynosi 1 000 zł. Szczegółowy podział pozostałych nagród oraz forma świadczeń zostaną ogłoszone przed zakończeniem naboru. Finał i wręczenie nagród planowane są na 21 grudnia 2026 r. Organizator może zaprezentować wybrane prace podczas finału, na platformie projektu i w kanałach informacyjnych – wyłącznie na podstawie odpowiednich zgód/licencji.</w:t>
      </w:r>
    </w:p>
    <w:p>
      <w:pPr>
        <w:pStyle w:val="Nagwek2"/>
        <w:jc w:val="both"/>
        <w:rPr>
          <w:rFonts w:ascii="Tahoma" w:hAnsi="Tahoma"/>
          <w:sz w:val="20"/>
          <w:szCs w:val="20"/>
        </w:rPr>
      </w:pPr>
      <w:r>
        <w:rPr>
          <w:rFonts w:ascii="Tahoma" w:hAnsi="Tahoma"/>
          <w:sz w:val="20"/>
          <w:szCs w:val="20"/>
        </w:rPr>
        <w:t>§ 8a. Liga Szkół – osobna klasyfikacja i nagrody</w:t>
      </w:r>
    </w:p>
    <w:p>
      <w:pPr>
        <w:pStyle w:val="Normal"/>
        <w:jc w:val="both"/>
        <w:rPr>
          <w:rFonts w:ascii="Tahoma" w:hAnsi="Tahoma"/>
          <w:sz w:val="20"/>
          <w:szCs w:val="20"/>
        </w:rPr>
      </w:pPr>
      <w:r>
        <w:rPr>
          <w:rFonts w:ascii="Tahoma" w:hAnsi="Tahoma"/>
          <w:sz w:val="20"/>
          <w:szCs w:val="20"/>
        </w:rPr>
        <w:t>„</w:t>
      </w:r>
      <w:r>
        <w:rPr>
          <w:rFonts w:ascii="Tahoma" w:hAnsi="Tahoma"/>
          <w:sz w:val="20"/>
          <w:szCs w:val="20"/>
        </w:rPr>
        <w:t>Liga Szkół” jest odrębną rywalizacją szkół uczestniczących w konkursie. Każda poprawnie zgłoszona praca otrzymuje punkty w klasyfikacji szkolnej, niezależnie od wyniku indywidualnego. Praca zespołowa zgłoszona przez uczniów jednej szkoły liczy się jako jedna praca; zespoły międzyszkolne powinny wskazać jedną szkołę reprezentowaną na potrzeby Ligi Szkół.</w:t>
      </w:r>
    </w:p>
    <w:p>
      <w:pPr>
        <w:pStyle w:val="Normal"/>
        <w:jc w:val="both"/>
        <w:rPr>
          <w:rFonts w:ascii="Tahoma" w:hAnsi="Tahoma"/>
          <w:sz w:val="20"/>
          <w:szCs w:val="20"/>
        </w:rPr>
      </w:pPr>
      <w:r>
        <w:rPr>
          <w:rFonts w:ascii="Tahoma" w:hAnsi="Tahoma"/>
          <w:sz w:val="20"/>
          <w:szCs w:val="20"/>
        </w:rPr>
        <w:t>Proponowany sposób liczenia punktów: za każdą poprawną pracę – 5 pkt; za zakwalifikowanie pracy do finału – dodatkowe 10 pkt; za I miejsce – dodatkowe 30 pkt, II – 20 pkt, III – 10 pkt; za wyróżnienie – 5 pkt. Punkty nalicza się dla wszystkich trzech zadań oraz obu kategorii wiekowych. Wynik szkoły stanowi suma punktów jej prac. Przy remisie decyduje wyższa liczba nagrodzonych prac, a następnie wyższa suma ocen komisji.</w:t>
      </w:r>
    </w:p>
    <w:p>
      <w:pPr>
        <w:pStyle w:val="Normal"/>
        <w:jc w:val="both"/>
        <w:rPr>
          <w:rFonts w:ascii="Tahoma" w:hAnsi="Tahoma"/>
          <w:sz w:val="20"/>
          <w:szCs w:val="20"/>
        </w:rPr>
      </w:pPr>
      <w:r>
        <w:rPr>
          <w:rFonts w:ascii="Tahoma" w:hAnsi="Tahoma"/>
          <w:sz w:val="20"/>
          <w:szCs w:val="20"/>
        </w:rPr>
        <w:t>Na nagrody dla szkół przeznacza się 5 000 zł. Na nagrody uczniowskie przeznacza się 7 500 zł, w tym nagrodę główną o wartości 1 000 zł. Nagrody szkolne przyznaje się placówkom, a nie indywidualnym opiekunom. Podział miejsc, pozostałych kwot i forma nagród zostaną ogłoszone przez Organizatora przed zamknięciem naboru.</w:t>
      </w:r>
    </w:p>
    <w:p>
      <w:pPr>
        <w:pStyle w:val="Nagwek2"/>
        <w:jc w:val="both"/>
        <w:rPr>
          <w:rFonts w:ascii="Tahoma" w:hAnsi="Tahoma"/>
          <w:sz w:val="20"/>
          <w:szCs w:val="20"/>
        </w:rPr>
      </w:pPr>
      <w:r>
        <w:rPr>
          <w:rFonts w:ascii="Tahoma" w:hAnsi="Tahoma"/>
          <w:sz w:val="20"/>
          <w:szCs w:val="20"/>
        </w:rPr>
        <w:t>§ 9. Prawa autorskie, AI i wizerunek</w:t>
      </w:r>
    </w:p>
    <w:p>
      <w:pPr>
        <w:pStyle w:val="ListBullet"/>
        <w:numPr>
          <w:ilvl w:val="0"/>
          <w:numId w:val="1"/>
        </w:numPr>
        <w:jc w:val="both"/>
        <w:rPr>
          <w:rFonts w:ascii="Tahoma" w:hAnsi="Tahoma"/>
          <w:sz w:val="20"/>
          <w:szCs w:val="20"/>
        </w:rPr>
      </w:pPr>
      <w:r>
        <w:rPr>
          <w:rFonts w:ascii="Tahoma" w:hAnsi="Tahoma"/>
          <w:sz w:val="20"/>
          <w:szCs w:val="20"/>
        </w:rPr>
        <w:t>Uczestnik oświadcza, że praca jest jego własna lub że posiada uprawnienia do wykorzystanych elementów.</w:t>
      </w:r>
    </w:p>
    <w:p>
      <w:pPr>
        <w:pStyle w:val="ListBullet"/>
        <w:numPr>
          <w:ilvl w:val="0"/>
          <w:numId w:val="1"/>
        </w:numPr>
        <w:jc w:val="both"/>
        <w:rPr>
          <w:rFonts w:ascii="Tahoma" w:hAnsi="Tahoma"/>
          <w:sz w:val="20"/>
          <w:szCs w:val="20"/>
        </w:rPr>
      </w:pPr>
      <w:r>
        <w:rPr>
          <w:rFonts w:ascii="Tahoma" w:hAnsi="Tahoma"/>
          <w:sz w:val="20"/>
          <w:szCs w:val="20"/>
        </w:rPr>
        <w:t>Uczestnik zachowuje autorskie prawa majątkowe do pracy. Udział w konkursie nie oznacza przeniesienia praw na Organizatora.</w:t>
      </w:r>
    </w:p>
    <w:p>
      <w:pPr>
        <w:pStyle w:val="ListBullet"/>
        <w:numPr>
          <w:ilvl w:val="0"/>
          <w:numId w:val="1"/>
        </w:numPr>
        <w:jc w:val="both"/>
        <w:rPr>
          <w:rFonts w:ascii="Tahoma" w:hAnsi="Tahoma"/>
          <w:sz w:val="20"/>
          <w:szCs w:val="20"/>
        </w:rPr>
      </w:pPr>
      <w:r>
        <w:rPr>
          <w:rFonts w:ascii="Tahoma" w:hAnsi="Tahoma"/>
          <w:sz w:val="20"/>
          <w:szCs w:val="20"/>
        </w:rPr>
        <w:t>Odrębna, nieodpłatna, niewyłączna licencja na publikację i promocję pracy może zostać udzielona Organizatorowi na formularzu zgody. Brak tej zgody nie wyklucza udziału w konkursie; Organizator wówczas nie publikuje pracy poza czynnościami niezbędnymi do oceny.</w:t>
      </w:r>
    </w:p>
    <w:p>
      <w:pPr>
        <w:pStyle w:val="ListBullet"/>
        <w:numPr>
          <w:ilvl w:val="0"/>
          <w:numId w:val="1"/>
        </w:numPr>
        <w:jc w:val="both"/>
        <w:rPr>
          <w:rFonts w:ascii="Tahoma" w:hAnsi="Tahoma"/>
          <w:sz w:val="20"/>
          <w:szCs w:val="20"/>
        </w:rPr>
      </w:pPr>
      <w:r>
        <w:rPr>
          <w:rFonts w:ascii="Tahoma" w:hAnsi="Tahoma"/>
          <w:sz w:val="20"/>
          <w:szCs w:val="20"/>
        </w:rPr>
        <w:t>Uczestnik ujawnia, czy korzystał z narzędzi AI, wskazując nazwę narzędzia i zakres pomocy. Korzystanie z AI jest dopuszczalne, ale nie może zastępować autorskiego pomysłu i wkładu ucznia.</w:t>
      </w:r>
    </w:p>
    <w:p>
      <w:pPr>
        <w:pStyle w:val="ListBullet"/>
        <w:numPr>
          <w:ilvl w:val="0"/>
          <w:numId w:val="1"/>
        </w:numPr>
        <w:jc w:val="both"/>
        <w:rPr>
          <w:rFonts w:ascii="Tahoma" w:hAnsi="Tahoma"/>
          <w:sz w:val="20"/>
          <w:szCs w:val="20"/>
        </w:rPr>
      </w:pPr>
      <w:r>
        <w:rPr>
          <w:rFonts w:ascii="Tahoma" w:hAnsi="Tahoma"/>
          <w:sz w:val="20"/>
          <w:szCs w:val="20"/>
        </w:rPr>
        <w:t>Zgoda na rozpowszechnianie wizerunku jest odrębna, dobrowolna i nie jest warunkiem udziału. W przypadku osób niepełnoletnich wymagana jest zgoda rodzica/opiekuna, a także poszanowanie zdania samego ucznia.</w:t>
      </w:r>
    </w:p>
    <w:p>
      <w:pPr>
        <w:pStyle w:val="ListBullet"/>
        <w:numPr>
          <w:ilvl w:val="0"/>
          <w:numId w:val="1"/>
        </w:numPr>
        <w:jc w:val="both"/>
        <w:rPr>
          <w:rFonts w:ascii="Tahoma" w:hAnsi="Tahoma"/>
          <w:sz w:val="20"/>
          <w:szCs w:val="20"/>
        </w:rPr>
      </w:pPr>
      <w:r>
        <w:rPr>
          <w:rFonts w:ascii="Tahoma" w:hAnsi="Tahoma"/>
          <w:sz w:val="20"/>
          <w:szCs w:val="20"/>
        </w:rPr>
        <w:t>Uczestnik odpowiada za uzyskanie zgód osób trzecich widocznych lub słyszalnych w pracy, jeśli są wymagane.</w:t>
      </w:r>
    </w:p>
    <w:p>
      <w:pPr>
        <w:pStyle w:val="Nagwek2"/>
        <w:jc w:val="both"/>
        <w:rPr>
          <w:rFonts w:ascii="Tahoma" w:hAnsi="Tahoma"/>
          <w:sz w:val="20"/>
          <w:szCs w:val="20"/>
        </w:rPr>
      </w:pPr>
      <w:r>
        <w:rPr>
          <w:rFonts w:ascii="Tahoma" w:hAnsi="Tahoma"/>
          <w:sz w:val="20"/>
          <w:szCs w:val="20"/>
        </w:rPr>
        <w:t>§ 10. Dane osobowe</w:t>
      </w:r>
    </w:p>
    <w:p>
      <w:pPr>
        <w:pStyle w:val="Normal"/>
        <w:jc w:val="both"/>
        <w:rPr>
          <w:rFonts w:ascii="Tahoma" w:hAnsi="Tahoma"/>
          <w:sz w:val="20"/>
          <w:szCs w:val="20"/>
        </w:rPr>
      </w:pPr>
      <w:r>
        <w:rPr>
          <w:rFonts w:ascii="Tahoma" w:hAnsi="Tahoma"/>
          <w:b w:val="false"/>
          <w:i w:val="false"/>
          <w:sz w:val="20"/>
          <w:szCs w:val="20"/>
        </w:rPr>
        <w:t>Administratorem danych osobowych jest Cech Rzemieślników i Przedsiębiorców w Starachowicach. Dane będą przetwarzane w celu organizacji konkursu, kontaktu z uczestnikami, oceny prac, ogłoszenia wyników i wydania nagród. Szczegółowe informacje o podstawach prawnych, odbiorcach, okresie przechowywania, prawach osób i kontakcie do administratora należy przekazać w odrębnej klauzuli informacyjnej RODO stanowiącej załącznik do formularza. Przed publikacją regulaminu Organizator uzupełnia tę klauzulę i weryfikuje okresy przechowywania zgodnie z dokumentacją projektu i przepisami.</w:t>
      </w:r>
    </w:p>
    <w:p>
      <w:pPr>
        <w:pStyle w:val="Nagwek2"/>
        <w:jc w:val="both"/>
        <w:rPr>
          <w:rFonts w:ascii="Tahoma" w:hAnsi="Tahoma"/>
          <w:sz w:val="20"/>
          <w:szCs w:val="20"/>
        </w:rPr>
      </w:pPr>
      <w:r>
        <w:rPr>
          <w:rFonts w:ascii="Tahoma" w:hAnsi="Tahoma"/>
          <w:sz w:val="20"/>
          <w:szCs w:val="20"/>
        </w:rPr>
        <w:t>§ 11. Postanowienia końcowe</w:t>
      </w:r>
    </w:p>
    <w:p>
      <w:pPr>
        <w:pStyle w:val="Normal"/>
        <w:jc w:val="both"/>
        <w:rPr>
          <w:rFonts w:ascii="Tahoma" w:hAnsi="Tahoma"/>
          <w:sz w:val="20"/>
          <w:szCs w:val="20"/>
        </w:rPr>
      </w:pPr>
      <w:r>
        <w:rPr>
          <w:rFonts w:ascii="Tahoma" w:hAnsi="Tahoma"/>
          <w:b w:val="false"/>
          <w:i w:val="false"/>
          <w:sz w:val="20"/>
          <w:szCs w:val="20"/>
        </w:rPr>
        <w:t>Organizator może wprowadzić uzasadnione zmiany harmonogramu, informując o nich szkoły i uczestników. W sprawach nieuregulowanych regulaminem decyzję podejmuje Organizator z poszanowaniem przepisów prawa. Regulamin jest dostępny na stronie/kanale Organizatora: do uzyskania w biurze Cechu (biuro@cechstarachowice.pl).</w:t>
      </w:r>
    </w:p>
    <w:p>
      <w:pPr>
        <w:pStyle w:val="Normal"/>
        <w:spacing w:before="0" w:after="200"/>
        <w:jc w:val="both"/>
        <w:rPr>
          <w:rFonts w:ascii="Tahoma" w:hAnsi="Tahoma"/>
          <w:sz w:val="20"/>
          <w:szCs w:val="20"/>
        </w:rPr>
      </w:pPr>
      <w:r>
        <w:rPr>
          <w:rFonts w:ascii="Tahoma" w:hAnsi="Tahoma"/>
          <w:b w:val="false"/>
          <w:i w:val="false"/>
          <w:sz w:val="20"/>
          <w:szCs w:val="20"/>
        </w:rPr>
        <w:t>Data 04.11.2026</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191" w:right="1191" w:gutter="0" w:header="720" w:top="1020" w:footer="720" w:bottom="10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mbria">
    <w:charset w:val="ee"/>
    <w:family w:val="roman"/>
    <w:pitch w:val="variable"/>
  </w:font>
  <w:font w:name="Aptos">
    <w:charset w:val="ee"/>
    <w:family w:val="roman"/>
    <w:pitch w:val="variable"/>
  </w:font>
  <w:font w:name="Calibri">
    <w:charset w:val="ee"/>
    <w:family w:val="roman"/>
    <w:pitch w:val="variable"/>
  </w:font>
  <w:font w:name="Courier">
    <w:altName w:val="Courier New"/>
    <w:charset w:val="ee"/>
    <w:family w:val="roman"/>
    <w:pitch w:val="variable"/>
  </w:font>
  <w:font w:name="Liberation Sans">
    <w:altName w:val="Arial"/>
    <w:charset w:val="ee"/>
    <w:family w:val="roman"/>
    <w:pitch w:val="variable"/>
  </w:font>
  <w:font w:name="Tahoma">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opk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opka"/>
      <w:jc w:val="center"/>
      <w:rPr/>
    </w:pPr>
    <w:r>
      <w:rPr>
        <w:color w:val="787878"/>
        <w:sz w:val="16"/>
      </w:rPr>
      <w:t>Pakiet konkursowy – wersja robocza | PIR NIW 2026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opka"/>
      <w:jc w:val="center"/>
      <w:rPr/>
    </w:pPr>
    <w:r>
      <w:rPr>
        <w:color w:val="787878"/>
        <w:sz w:val="16"/>
      </w:rPr>
      <w:t>Pakiet konkursowy – wersja robocza | PIR NIW 2026</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Gwka"/>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Gwka"/>
      <w:jc w:val="center"/>
      <w:rPr/>
    </w:pPr>
    <w:r>
      <w:rPr>
        <w:color w:val="646E78"/>
        <w:sz w:val="16"/>
      </w:rPr>
      <w:t>CECH RZEMIEŚLNIKÓW I PRZEDSIĘBIORCÓW W STARACHOWICACH  |  RZEMIOSŁO PRZYSZŁOŚCI</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Gwka"/>
      <w:jc w:val="center"/>
      <w:rPr/>
    </w:pPr>
    <w:r>
      <w:rPr>
        <w:color w:val="646E78"/>
        <w:sz w:val="16"/>
      </w:rPr>
      <w:t>CECH RZEMIEŚLNIKÓW I PRZEDSIĘBIORCÓW W STARACHOWICACH  |  RZEMIOSŁO PRZYSZŁOŚCI</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sz w:val="20"/>
        <w:rFonts w:ascii="Tahoma" w:hAnsi="Tahoma"/>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200"/>
      <w:jc w:val="left"/>
    </w:pPr>
    <w:rPr>
      <w:rFonts w:ascii="Aptos" w:hAnsi="Aptos" w:eastAsia="Aptos" w:cs="" w:cstheme="minorBidi"/>
      <w:color w:val="auto"/>
      <w:kern w:val="0"/>
      <w:sz w:val="20"/>
      <w:szCs w:val="22"/>
      <w:lang w:val="en-US" w:eastAsia="en-US" w:bidi="ar-SA"/>
    </w:rPr>
  </w:style>
  <w:style w:type="paragraph" w:styleId="Nagwek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val="17324D"/>
      <w:sz w:val="36"/>
      <w:szCs w:val="28"/>
    </w:rPr>
  </w:style>
  <w:style w:type="paragraph" w:styleId="Nagwek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val="087E8B"/>
      <w:sz w:val="26"/>
      <w:szCs w:val="26"/>
    </w:rPr>
  </w:style>
  <w:style w:type="paragraph" w:styleId="Nagwek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val="17324D"/>
      <w:sz w:val="22"/>
    </w:rPr>
  </w:style>
  <w:style w:type="paragraph" w:styleId="Nagwek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val="4F81BD" w:themeColor="accent1"/>
    </w:rPr>
  </w:style>
  <w:style w:type="paragraph" w:styleId="Nagwek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val="243F60" w:themeColor="accent1" w:themeShade="7f"/>
    </w:rPr>
  </w:style>
  <w:style w:type="paragraph" w:styleId="Nagwek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val="243F60" w:themeColor="accent1" w:themeShade="7f"/>
    </w:rPr>
  </w:style>
  <w:style w:type="paragraph" w:styleId="Nagwek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val="404040" w:themeColor="text1" w:themeTint="bf"/>
    </w:rPr>
  </w:style>
  <w:style w:type="paragraph" w:styleId="Nagwek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val="4F81BD" w:themeColor="accent1"/>
      <w:sz w:val="20"/>
      <w:szCs w:val="20"/>
    </w:rPr>
  </w:style>
  <w:style w:type="paragraph" w:styleId="Nagwek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val="404040" w:themeColor="text1" w:themeTint="bf"/>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uiPriority w:val="9"/>
    <w:qFormat/>
    <w:rsid w:val="00fc693f"/>
    <w:rPr>
      <w:rFonts w:ascii="Calibri" w:hAnsi="Calibri" w:eastAsia=""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uiPriority w:val="9"/>
    <w:qFormat/>
    <w:rsid w:val="00fc693f"/>
    <w:rPr>
      <w:rFonts w:ascii="Calibri" w:hAnsi="Calibri" w:eastAsia="" w:cs="" w:asciiTheme="majorHAnsi" w:cstheme="majorBidi" w:eastAsiaTheme="majorEastAsia" w:hAnsiTheme="majorHAnsi"/>
      <w:b/>
      <w:bCs/>
      <w:color w:val="4F81BD" w:themeColor="accent1"/>
    </w:rPr>
  </w:style>
  <w:style w:type="character" w:styleId="TitleChar" w:customStyle="1">
    <w:name w:val="Title Char"/>
    <w:basedOn w:val="DefaultParagraphFont"/>
    <w:uiPriority w:val="10"/>
    <w:qFormat/>
    <w:rsid w:val="00fc693f"/>
    <w:rPr>
      <w:rFonts w:ascii="Calibri" w:hAnsi="Calibri" w:eastAsia="" w:cs="" w:asciiTheme="majorHAnsi" w:cstheme="majorBidi" w:eastAsiaTheme="majorEastAsia" w:hAnsiTheme="majorHAnsi"/>
      <w:color w:val="17365D" w:themeColor="text2" w:themeShade="bf"/>
      <w:spacing w:val="5"/>
      <w:kern w:val="2"/>
      <w:sz w:val="52"/>
      <w:szCs w:val="52"/>
    </w:rPr>
  </w:style>
  <w:style w:type="character" w:styleId="SubtitleChar" w:customStyle="1">
    <w:name w:val="Subtitle Char"/>
    <w:basedOn w:val="DefaultParagraphFont"/>
    <w:uiPriority w:val="11"/>
    <w:qFormat/>
    <w:rsid w:val="00fc693f"/>
    <w:rPr>
      <w:rFonts w:ascii="Calibri" w:hAnsi="Calibri" w:eastAsia="" w:cs="" w:asciiTheme="majorHAnsi" w:cstheme="majorBidi" w:eastAsiaTheme="majorEastAsia" w:hAnsiTheme="majorHAnsi"/>
      <w:i/>
      <w:iCs/>
      <w:color w:val="4F81BD" w:themeColor="accent1"/>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val="000000" w:themeColor="text1"/>
    </w:rPr>
  </w:style>
  <w:style w:type="character" w:styleId="Heading4Char" w:customStyle="1">
    <w:name w:val="Heading 4 Char"/>
    <w:basedOn w:val="DefaultParagraphFont"/>
    <w:uiPriority w:val="9"/>
    <w:semiHidden/>
    <w:qFormat/>
    <w:rsid w:val="00fc693f"/>
    <w:rPr>
      <w:rFonts w:ascii="Calibri" w:hAnsi="Calibri" w:eastAsia="" w:cs="" w:asciiTheme="majorHAnsi" w:cstheme="majorBidi" w:eastAsiaTheme="majorEastAsia" w:hAnsiTheme="majorHAnsi"/>
      <w:b/>
      <w:bCs/>
      <w:i/>
      <w:iCs/>
      <w:color w:val="4F81BD" w:themeColor="accent1"/>
    </w:rPr>
  </w:style>
  <w:style w:type="character" w:styleId="Heading5Char" w:customStyle="1">
    <w:name w:val="Heading 5 Char"/>
    <w:basedOn w:val="DefaultParagraphFont"/>
    <w:uiPriority w:val="9"/>
    <w:semiHidden/>
    <w:qFormat/>
    <w:rsid w:val="00fc693f"/>
    <w:rPr>
      <w:rFonts w:ascii="Calibri" w:hAnsi="Calibri" w:eastAsia="" w:cs="" w:asciiTheme="majorHAnsi" w:cstheme="majorBidi" w:eastAsiaTheme="majorEastAsia" w:hAnsiTheme="majorHAnsi"/>
      <w:color w:val="243F60" w:themeColor="accent1" w:themeShade="7f"/>
    </w:rPr>
  </w:style>
  <w:style w:type="character" w:styleId="Heading6Char" w:customStyle="1">
    <w:name w:val="Heading 6 Char"/>
    <w:basedOn w:val="DefaultParagraphFont"/>
    <w:uiPriority w:val="9"/>
    <w:semiHidden/>
    <w:qFormat/>
    <w:rsid w:val="00fc693f"/>
    <w:rPr>
      <w:rFonts w:ascii="Calibri" w:hAnsi="Calibri" w:eastAsia=""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uiPriority w:val="9"/>
    <w:semiHidden/>
    <w:qFormat/>
    <w:rsid w:val="00fc693f"/>
    <w:rPr>
      <w:rFonts w:ascii="Calibri" w:hAnsi="Calibri" w:eastAsia=""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uiPriority w:val="9"/>
    <w:semiHidden/>
    <w:qFormat/>
    <w:rsid w:val="00fc693f"/>
    <w:rPr>
      <w:rFonts w:ascii="Calibri" w:hAnsi="Calibri" w:eastAsia="" w:c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uiPriority w:val="9"/>
    <w:semiHidden/>
    <w:qFormat/>
    <w:rsid w:val="00fc693f"/>
    <w:rPr>
      <w:rFonts w:ascii="Calibri" w:hAnsi="Calibri" w:eastAsia=""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Wyrnienie">
    <w:name w:val="Wyróżnienie"/>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link w:val="BodyTextChar"/>
    <w:uiPriority w:val="99"/>
    <w:unhideWhenUsed/>
    <w:rsid w:val="00aa1d8d"/>
    <w:pPr>
      <w:spacing w:before="0" w:after="120"/>
    </w:pPr>
    <w:rPr/>
  </w:style>
  <w:style w:type="paragraph" w:styleId="Lista">
    <w:name w:val="List"/>
    <w:basedOn w:val="Normal"/>
    <w:uiPriority w:val="99"/>
    <w:unhideWhenUsed/>
    <w:rsid w:val="00aa1d8d"/>
    <w:pPr>
      <w:spacing w:before="0" w:after="200"/>
      <w:ind w:left="360" w:hanging="360"/>
      <w:contextualSpacing/>
    </w:pPr>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Caption">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Gwkaistopka">
    <w:name w:val="Główka i stopka"/>
    <w:basedOn w:val="Normal"/>
    <w:qFormat/>
    <w:pPr/>
    <w:rPr/>
  </w:style>
  <w:style w:type="paragraph" w:styleId="Gwka">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Stopka">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ytu">
    <w:name w:val="Title"/>
    <w:basedOn w:val="Normal"/>
    <w:next w:val="Normal"/>
    <w:link w:val="TitleChar"/>
    <w:uiPriority w:val="10"/>
    <w:qFormat/>
    <w:rsid w:val="00fc693f"/>
    <w:pPr>
      <w:pBdr>
        <w:bottom w:val="single" w:sz="8" w:space="4" w:color="4F81BD"/>
      </w:pBdr>
      <w:spacing w:lineRule="auto" w:line="240" w:before="0" w:after="300"/>
      <w:contextualSpacing/>
    </w:pPr>
    <w:rPr>
      <w:rFonts w:ascii="Calibri" w:hAnsi="Calibri" w:eastAsia="" w:cs="" w:asciiTheme="majorHAnsi" w:cstheme="majorBidi" w:eastAsiaTheme="majorEastAsia" w:hAnsiTheme="majorHAnsi"/>
      <w:b/>
      <w:color w:val="17324D"/>
      <w:spacing w:val="5"/>
      <w:kern w:val="2"/>
      <w:sz w:val="52"/>
      <w:szCs w:val="52"/>
    </w:rPr>
  </w:style>
  <w:style w:type="paragraph" w:styleId="Podtytu">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200"/>
      <w:ind w:left="720" w:hanging="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Bullet3">
    <w:name w:val="List Bullet 3"/>
    <w:basedOn w:val="Normal"/>
    <w:uiPriority w:val="99"/>
    <w:unhideWhenUsed/>
    <w:qFormat/>
    <w:rsid w:val="00326f90"/>
    <w:pPr>
      <w:numPr>
        <w:ilvl w:val="0"/>
        <w:numId w:val="3"/>
      </w:numPr>
      <w:spacing w:before="0" w:after="200"/>
      <w:contextualSpacing/>
    </w:pPr>
    <w:rPr/>
  </w:style>
  <w:style w:type="paragraph" w:styleId="ListBullet4">
    <w:name w:val="List Bullet 4"/>
    <w:basedOn w:val="Normal"/>
    <w:uiPriority w:val="99"/>
    <w:unhideWhenUsed/>
    <w:qFormat/>
    <w:rsid w:val="00326f90"/>
    <w:pPr>
      <w:spacing w:before="0" w:after="200"/>
      <w:ind w:left="1080" w:hanging="360"/>
      <w:contextualSpacing/>
    </w:pPr>
    <w:rPr/>
  </w:style>
  <w:style w:type="paragraph" w:styleId="ListBullet">
    <w:name w:val="List Bullet"/>
    <w:basedOn w:val="Normal"/>
    <w:uiPriority w:val="99"/>
    <w:unhideWhenUsed/>
    <w:qFormat/>
    <w:rsid w:val="00326f90"/>
    <w:pPr>
      <w:numPr>
        <w:ilvl w:val="0"/>
        <w:numId w:val="1"/>
      </w:numPr>
      <w:spacing w:before="0" w:after="200"/>
      <w:contextualSpacing/>
    </w:pPr>
    <w:rPr/>
  </w:style>
  <w:style w:type="paragraph" w:styleId="ListBullet2">
    <w:name w:val="List Bullet 2"/>
    <w:basedOn w:val="Normal"/>
    <w:uiPriority w:val="99"/>
    <w:unhideWhenUsed/>
    <w:qFormat/>
    <w:rsid w:val="00326f90"/>
    <w:pPr>
      <w:numPr>
        <w:ilvl w:val="0"/>
        <w:numId w:val="2"/>
      </w:numPr>
      <w:spacing w:before="0" w:after="200"/>
      <w:contextualSpacing/>
    </w:pPr>
    <w:rPr/>
  </w:style>
  <w:style w:type="paragraph" w:styleId="ListNumber">
    <w:name w:val="List Number"/>
    <w:basedOn w:val="Normal"/>
    <w:uiPriority w:val="99"/>
    <w:unhideWhenUsed/>
    <w:qFormat/>
    <w:rsid w:val="00326f90"/>
    <w:pPr>
      <w:numPr>
        <w:ilvl w:val="0"/>
        <w:numId w:val="4"/>
      </w:numPr>
      <w:spacing w:before="0" w:after="200"/>
      <w:contextualSpacing/>
    </w:pPr>
    <w:rPr/>
  </w:style>
  <w:style w:type="paragraph" w:styleId="ListNumber2">
    <w:name w:val="List Number 2"/>
    <w:basedOn w:val="Normal"/>
    <w:uiPriority w:val="99"/>
    <w:unhideWhenUsed/>
    <w:qFormat/>
    <w:rsid w:val="0029639d"/>
    <w:pPr>
      <w:numPr>
        <w:ilvl w:val="0"/>
        <w:numId w:val="5"/>
      </w:numPr>
      <w:spacing w:before="0" w:after="200"/>
      <w:contextualSpacing/>
    </w:pPr>
    <w:rPr/>
  </w:style>
  <w:style w:type="paragraph" w:styleId="ListNumber3">
    <w:name w:val="List Number 3"/>
    <w:basedOn w:val="Normal"/>
    <w:uiPriority w:val="99"/>
    <w:unhideWhenUsed/>
    <w:qFormat/>
    <w:rsid w:val="0029639d"/>
    <w:pPr>
      <w:numPr>
        <w:ilvl w:val="0"/>
        <w:numId w:val="6"/>
      </w:numPr>
      <w:spacing w:before="0" w:after="200"/>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hanging="0"/>
    </w:pPr>
    <w:rPr>
      <w:b/>
      <w:bCs/>
      <w:i/>
      <w:iCs/>
      <w:color w:val="4F81BD" w:themeColor="accent1"/>
    </w:rPr>
  </w:style>
  <w:style w:type="paragraph" w:styleId="Indexheading">
    <w:name w:val="index heading"/>
    <w:basedOn w:val="Nagwek"/>
    <w:qFormat/>
    <w:pPr/>
    <w:rPr/>
  </w:style>
  <w:style w:type="paragraph" w:styleId="Nagwekindeksu">
    <w:name w:val="Index Heading"/>
    <w:basedOn w:val="Nagwek"/>
    <w:pPr/>
    <w:rPr/>
  </w:style>
  <w:style w:type="paragraph" w:styleId="Nagwekspisutreci">
    <w:name w:val="TOC Heading"/>
    <w:basedOn w:val="Nagwek1"/>
    <w:next w:val="Normal"/>
    <w:uiPriority w:val="39"/>
    <w:semiHidden/>
    <w:unhideWhenUsed/>
    <w:qFormat/>
    <w:rsid w:val="00fc693f"/>
    <w:pPr>
      <w:outlineLvl w:val="9"/>
    </w:pPr>
    <w:rPr/>
  </w:style>
  <w:style w:type="numbering" w:styleId="Bezlisty" w:default="1">
    <w:name w:val="Bez listy"/>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Application>LibreOffice/7.3.0.3$Windows_X86_64 LibreOffice_project/0f246aa12d0eee4a0f7adcefbf7c878fc2238db3</Application>
  <AppVersion>15.0000</AppVersion>
  <Pages>4</Pages>
  <Words>1352</Words>
  <Characters>8607</Characters>
  <CharactersWithSpaces>9859</CharactersWithSpaces>
  <Paragraphs>91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pl-PL</dc:language>
  <cp:lastModifiedBy/>
  <dcterms:modified xsi:type="dcterms:W3CDTF">2026-11-04T21:14:49Z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